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4"/>
        <w:gridCol w:w="6349"/>
        <w:gridCol w:w="1066"/>
        <w:gridCol w:w="962"/>
        <w:gridCol w:w="1034"/>
      </w:tblGrid>
      <w:tr w:rsidR="004D0D34" w14:paraId="56E9DF61" w14:textId="77777777" w:rsidTr="00801C83">
        <w:trPr>
          <w:cantSplit/>
          <w:trHeight w:val="464"/>
        </w:trPr>
        <w:tc>
          <w:tcPr>
            <w:tcW w:w="5000" w:type="pct"/>
            <w:gridSpan w:val="5"/>
            <w:vAlign w:val="center"/>
          </w:tcPr>
          <w:p w14:paraId="34986F12" w14:textId="299D78C1" w:rsidR="004D0D34" w:rsidRDefault="00BF130E" w:rsidP="00BF130E">
            <w:pPr>
              <w:jc w:val="center"/>
              <w:rPr>
                <w:b/>
              </w:rPr>
            </w:pPr>
            <w:r w:rsidRPr="00BF130E">
              <w:rPr>
                <w:rFonts w:ascii="標楷體" w:eastAsia="標楷體" w:hint="eastAsia"/>
                <w:b/>
                <w:bCs/>
                <w:sz w:val="40"/>
              </w:rPr>
              <w:t>資訊系統</w:t>
            </w:r>
            <w:r w:rsidR="00996B6C">
              <w:rPr>
                <w:rFonts w:ascii="標楷體" w:eastAsia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1D7583" wp14:editId="0359DDC5">
                      <wp:simplePos x="0" y="0"/>
                      <wp:positionH relativeFrom="column">
                        <wp:posOffset>5319395</wp:posOffset>
                      </wp:positionH>
                      <wp:positionV relativeFrom="paragraph">
                        <wp:posOffset>-777875</wp:posOffset>
                      </wp:positionV>
                      <wp:extent cx="1143000" cy="3429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892BA2" w14:textId="77777777" w:rsidR="00A97105" w:rsidRDefault="00A97105" w:rsidP="004D0D34">
                                  <w:r>
                                    <w:rPr>
                                      <w:rFonts w:hint="eastAsia"/>
                                    </w:rPr>
                                    <w:t>需求規格表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5E1D75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18.85pt;margin-top:-61.25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" stroked="f">
                      <v:textbox>
                        <w:txbxContent>
                          <w:p w14:paraId="18892BA2" w14:textId="77777777" w:rsidR="00A97105" w:rsidRDefault="00A97105" w:rsidP="004D0D34">
                            <w:r>
                              <w:rPr>
                                <w:rFonts w:hint="eastAsia"/>
                              </w:rPr>
                              <w:t>需求規格表一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0D34">
              <w:rPr>
                <w:rFonts w:ascii="標楷體" w:eastAsia="標楷體" w:hint="eastAsia"/>
                <w:b/>
                <w:bCs/>
                <w:sz w:val="40"/>
              </w:rPr>
              <w:t xml:space="preserve">/設備   </w:t>
            </w:r>
            <w:proofErr w:type="gramStart"/>
            <w:r w:rsidR="004D0D34">
              <w:rPr>
                <w:rFonts w:ascii="標楷體" w:eastAsia="標楷體" w:hint="eastAsia"/>
                <w:b/>
                <w:bCs/>
                <w:sz w:val="40"/>
              </w:rPr>
              <w:t>詢</w:t>
            </w:r>
            <w:proofErr w:type="gramEnd"/>
            <w:r w:rsidR="004D0D34">
              <w:rPr>
                <w:rFonts w:ascii="標楷體" w:eastAsia="標楷體" w:hint="eastAsia"/>
                <w:b/>
                <w:bCs/>
                <w:sz w:val="40"/>
              </w:rPr>
              <w:t>價品項規格表</w:t>
            </w:r>
          </w:p>
        </w:tc>
      </w:tr>
      <w:tr w:rsidR="004D0D34" w14:paraId="4BBE8D09" w14:textId="77777777" w:rsidTr="00801C83">
        <w:trPr>
          <w:cantSplit/>
          <w:trHeight w:val="599"/>
        </w:trPr>
        <w:tc>
          <w:tcPr>
            <w:tcW w:w="5000" w:type="pct"/>
            <w:gridSpan w:val="5"/>
            <w:vAlign w:val="center"/>
          </w:tcPr>
          <w:p w14:paraId="652B5DE8" w14:textId="2FFDBF7B" w:rsidR="004D0D34" w:rsidRPr="00FC2A9B" w:rsidRDefault="00BB3A4E" w:rsidP="00F37035">
            <w:pPr>
              <w:rPr>
                <w:rFonts w:ascii="標楷體" w:eastAsia="標楷體" w:hAnsi="標楷體"/>
                <w:b/>
                <w:highlight w:val="yellow"/>
              </w:rPr>
            </w:pPr>
            <w:bookmarkStart w:id="0" w:name="_Hlk216088632"/>
            <w:r w:rsidRPr="00E24768">
              <w:rPr>
                <w:rFonts w:ascii="標楷體" w:eastAsia="標楷體" w:hAnsi="標楷體" w:hint="eastAsia"/>
              </w:rPr>
              <w:t>預算項目：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A1E24">
              <w:rPr>
                <w:rFonts w:ascii="標楷體" w:eastAsia="標楷體" w:hAnsi="標楷體" w:hint="eastAsia"/>
              </w:rPr>
              <w:t>量子退火最佳化機器學習演算法計畫</w:t>
            </w:r>
            <w:r>
              <w:rPr>
                <w:rFonts w:ascii="標楷體" w:eastAsia="標楷體" w:hAnsi="標楷體"/>
              </w:rPr>
              <w:t xml:space="preserve">   </w:t>
            </w:r>
            <w:r w:rsidRPr="00983A85">
              <w:rPr>
                <w:rFonts w:ascii="標楷體" w:eastAsia="標楷體" w:hAnsi="標楷體" w:hint="eastAsia"/>
                <w:highlight w:val="yellow"/>
              </w:rPr>
              <w:t>案件編號：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A1E24">
              <w:rPr>
                <w:rFonts w:ascii="標楷體" w:eastAsia="標楷體" w:hAnsi="標楷體" w:hint="eastAsia"/>
              </w:rPr>
              <w:t>總-114115-S-051</w:t>
            </w:r>
            <w:bookmarkEnd w:id="0"/>
            <w:r w:rsidR="0071623A" w:rsidRPr="00FC2A9B">
              <w:rPr>
                <w:highlight w:val="yellow"/>
              </w:rPr>
              <w:t xml:space="preserve"> </w:t>
            </w:r>
          </w:p>
        </w:tc>
      </w:tr>
      <w:tr w:rsidR="004D0D34" w14:paraId="08D8FDCF" w14:textId="77777777" w:rsidTr="00BB3A4E">
        <w:trPr>
          <w:cantSplit/>
          <w:trHeight w:val="354"/>
        </w:trPr>
        <w:tc>
          <w:tcPr>
            <w:tcW w:w="384" w:type="pct"/>
            <w:vMerge w:val="restart"/>
            <w:vAlign w:val="center"/>
          </w:tcPr>
          <w:p w14:paraId="6835607E" w14:textId="77777777" w:rsidR="004D0D34" w:rsidRDefault="004D0D34" w:rsidP="0066666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4D0D34">
              <w:rPr>
                <w:rFonts w:ascii="標楷體" w:eastAsia="標楷體" w:hint="eastAsia"/>
              </w:rPr>
              <w:t>名稱：</w:t>
            </w:r>
          </w:p>
        </w:tc>
        <w:tc>
          <w:tcPr>
            <w:tcW w:w="4616" w:type="pct"/>
            <w:gridSpan w:val="4"/>
            <w:vAlign w:val="center"/>
          </w:tcPr>
          <w:p w14:paraId="62C3B3E3" w14:textId="5CDF0A84" w:rsidR="004D0D34" w:rsidRDefault="004D0D34" w:rsidP="00FC2A9B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FC2A9B">
              <w:rPr>
                <w:rFonts w:ascii="Arial Unicode MS" w:eastAsia="標楷體" w:hAnsi="Arial Unicode MS" w:hint="eastAsia"/>
                <w:highlight w:val="yellow"/>
              </w:rPr>
              <w:t>(</w:t>
            </w:r>
            <w:r w:rsidRPr="00FC2A9B">
              <w:rPr>
                <w:rFonts w:ascii="Arial Unicode MS" w:eastAsia="標楷體" w:hAnsi="Arial Unicode MS" w:hint="eastAsia"/>
                <w:highlight w:val="yellow"/>
              </w:rPr>
              <w:t>中</w:t>
            </w:r>
            <w:r w:rsidRPr="00FC2A9B">
              <w:rPr>
                <w:rFonts w:ascii="Arial Unicode MS" w:eastAsia="標楷體" w:hAnsi="Arial Unicode MS" w:hint="eastAsia"/>
                <w:highlight w:val="yellow"/>
              </w:rPr>
              <w:t>)</w:t>
            </w:r>
            <w:r w:rsidR="00BA46A4">
              <w:rPr>
                <w:rFonts w:ascii="Arial Unicode MS" w:eastAsia="標楷體" w:hAnsi="Arial Unicode MS"/>
              </w:rPr>
              <w:t xml:space="preserve"> </w:t>
            </w:r>
            <w:r w:rsidR="00801C8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bookmarkStart w:id="1" w:name="_Hlk225429287"/>
            <w:proofErr w:type="gramStart"/>
            <w:r w:rsidR="00BB3A4E" w:rsidRPr="00A4039F">
              <w:rPr>
                <w:rFonts w:hint="eastAsia"/>
                <w:sz w:val="28"/>
                <w:szCs w:val="28"/>
              </w:rPr>
              <w:t>115</w:t>
            </w:r>
            <w:proofErr w:type="gramEnd"/>
            <w:r w:rsidR="00BB3A4E" w:rsidRPr="00A4039F">
              <w:rPr>
                <w:rFonts w:hint="eastAsia"/>
                <w:sz w:val="28"/>
                <w:szCs w:val="28"/>
              </w:rPr>
              <w:t>年度</w:t>
            </w:r>
            <w:r w:rsidR="00BB3A4E" w:rsidRPr="00A4039F">
              <w:rPr>
                <w:rFonts w:hint="eastAsia"/>
                <w:sz w:val="28"/>
                <w:szCs w:val="28"/>
              </w:rPr>
              <w:t xml:space="preserve"> </w:t>
            </w:r>
            <w:r w:rsidR="00BB3A4E" w:rsidRPr="00A4039F">
              <w:rPr>
                <w:rFonts w:hint="eastAsia"/>
                <w:sz w:val="28"/>
                <w:szCs w:val="28"/>
              </w:rPr>
              <w:t>量子退火最佳化機器學習演算法產學合作研究案</w:t>
            </w:r>
            <w:bookmarkEnd w:id="1"/>
          </w:p>
        </w:tc>
      </w:tr>
      <w:tr w:rsidR="004D0D34" w14:paraId="5353186D" w14:textId="77777777" w:rsidTr="00BB3A4E">
        <w:trPr>
          <w:cantSplit/>
          <w:trHeight w:val="567"/>
        </w:trPr>
        <w:tc>
          <w:tcPr>
            <w:tcW w:w="384" w:type="pct"/>
            <w:vMerge/>
          </w:tcPr>
          <w:p w14:paraId="078DA8B9" w14:textId="77777777" w:rsidR="004D0D34" w:rsidRDefault="004D0D34" w:rsidP="00666668">
            <w:pPr>
              <w:jc w:val="center"/>
              <w:rPr>
                <w:b/>
              </w:rPr>
            </w:pPr>
          </w:p>
        </w:tc>
        <w:tc>
          <w:tcPr>
            <w:tcW w:w="4616" w:type="pct"/>
            <w:gridSpan w:val="4"/>
            <w:vAlign w:val="center"/>
          </w:tcPr>
          <w:p w14:paraId="608E6F5C" w14:textId="77777777" w:rsidR="004D0D34" w:rsidRDefault="004D0D34" w:rsidP="00666668">
            <w:pPr>
              <w:jc w:val="both"/>
              <w:rPr>
                <w:b/>
              </w:rPr>
            </w:pPr>
            <w:r w:rsidRPr="004D0D34">
              <w:rPr>
                <w:rFonts w:ascii="Arial Unicode MS" w:eastAsia="標楷體" w:hAnsi="Arial Unicode MS" w:hint="eastAsia"/>
              </w:rPr>
              <w:t>(</w:t>
            </w:r>
            <w:r w:rsidRPr="004D0D34">
              <w:rPr>
                <w:rFonts w:ascii="Arial Unicode MS" w:eastAsia="標楷體" w:hAnsi="Arial Unicode MS" w:hint="eastAsia"/>
              </w:rPr>
              <w:t>英</w:t>
            </w:r>
            <w:r w:rsidRPr="004D0D34">
              <w:rPr>
                <w:rFonts w:ascii="Arial Unicode MS" w:eastAsia="標楷體" w:hAnsi="Arial Unicode MS" w:hint="eastAsia"/>
              </w:rPr>
              <w:t>)</w:t>
            </w:r>
            <w:r w:rsidR="00B01276">
              <w:rPr>
                <w:rFonts w:ascii="Arial Unicode MS" w:eastAsia="標楷體" w:hAnsi="Arial Unicode MS"/>
              </w:rPr>
              <w:t xml:space="preserve"> </w:t>
            </w:r>
            <w:r w:rsidR="00801C83">
              <w:rPr>
                <w:sz w:val="28"/>
                <w:szCs w:val="28"/>
              </w:rPr>
              <w:t xml:space="preserve"> </w:t>
            </w:r>
          </w:p>
        </w:tc>
      </w:tr>
      <w:tr w:rsidR="004D0D34" w14:paraId="48B4525E" w14:textId="77777777" w:rsidTr="00BB3A4E">
        <w:trPr>
          <w:cantSplit/>
          <w:trHeight w:val="478"/>
        </w:trPr>
        <w:tc>
          <w:tcPr>
            <w:tcW w:w="384" w:type="pct"/>
            <w:vAlign w:val="center"/>
          </w:tcPr>
          <w:p w14:paraId="35DCFF0A" w14:textId="77777777" w:rsidR="004D0D34" w:rsidRDefault="004D0D34" w:rsidP="006666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項次</w:t>
            </w:r>
          </w:p>
        </w:tc>
        <w:tc>
          <w:tcPr>
            <w:tcW w:w="3637" w:type="pct"/>
            <w:gridSpan w:val="2"/>
            <w:vAlign w:val="center"/>
          </w:tcPr>
          <w:p w14:paraId="7A30FC9E" w14:textId="77777777" w:rsidR="004D0D34" w:rsidRDefault="004D0D34" w:rsidP="006666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品名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規格</w:t>
            </w:r>
          </w:p>
        </w:tc>
        <w:tc>
          <w:tcPr>
            <w:tcW w:w="472" w:type="pct"/>
            <w:vAlign w:val="center"/>
          </w:tcPr>
          <w:p w14:paraId="44583F5F" w14:textId="77777777" w:rsidR="004D0D34" w:rsidRDefault="004D0D34" w:rsidP="006666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數量</w:t>
            </w:r>
          </w:p>
        </w:tc>
        <w:tc>
          <w:tcPr>
            <w:tcW w:w="508" w:type="pct"/>
            <w:vAlign w:val="center"/>
          </w:tcPr>
          <w:p w14:paraId="0883F0AA" w14:textId="77777777" w:rsidR="004D0D34" w:rsidRDefault="004D0D34" w:rsidP="006666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單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位</w:t>
            </w:r>
          </w:p>
        </w:tc>
      </w:tr>
      <w:tr w:rsidR="00BB3A4E" w14:paraId="39AA7045" w14:textId="77777777" w:rsidTr="00BB3A4E">
        <w:trPr>
          <w:cantSplit/>
          <w:trHeight w:val="4365"/>
        </w:trPr>
        <w:tc>
          <w:tcPr>
            <w:tcW w:w="384" w:type="pct"/>
            <w:tcBorders>
              <w:top w:val="single" w:sz="4" w:space="0" w:color="auto"/>
            </w:tcBorders>
            <w:vAlign w:val="center"/>
          </w:tcPr>
          <w:p w14:paraId="48C8CB39" w14:textId="77777777" w:rsidR="00BB3A4E" w:rsidRDefault="00BB3A4E" w:rsidP="00BB3A4E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.</w:t>
            </w:r>
          </w:p>
        </w:tc>
        <w:tc>
          <w:tcPr>
            <w:tcW w:w="3637" w:type="pct"/>
            <w:gridSpan w:val="2"/>
            <w:tcBorders>
              <w:top w:val="single" w:sz="4" w:space="0" w:color="auto"/>
            </w:tcBorders>
          </w:tcPr>
          <w:p w14:paraId="5A2912D6" w14:textId="21DCC504" w:rsidR="00BB3A4E" w:rsidRPr="00F37035" w:rsidRDefault="00BB3A4E" w:rsidP="009E6396">
            <w:pPr>
              <w:tabs>
                <w:tab w:val="left" w:pos="1134"/>
              </w:tabs>
              <w:snapToGrid w:val="0"/>
              <w:spacing w:line="400" w:lineRule="exact"/>
            </w:pPr>
            <w:r w:rsidRPr="00A4039F">
              <w:rPr>
                <w:rFonts w:ascii="標楷體" w:eastAsia="標楷體" w:hAnsi="標楷體" w:hint="eastAsia"/>
              </w:rPr>
              <w:t>量子退火預測模型研發服務1. QUBO 建模能力： 廠商須具備將醫療結構化數據轉化為二次無限制二元優化 (QUBO) 模型之能力，並能定義 Hamiltonian 能量方程式。2. 量子特徵篩選 (Q-Feature Selection)： 利用量子退火機制進行全域最佳化特徵搜尋，解決 NP-Hard 組合優化問題，產出最佳特徵子集。3. Q-Boost 演算法開發： 開發結合量子弱分類器與古典</w:t>
            </w:r>
            <w:proofErr w:type="gramStart"/>
            <w:r w:rsidRPr="00A4039F">
              <w:rPr>
                <w:rFonts w:ascii="標楷體" w:eastAsia="標楷體" w:hAnsi="標楷體" w:hint="eastAsia"/>
              </w:rPr>
              <w:t>強</w:t>
            </w:r>
            <w:proofErr w:type="gramEnd"/>
            <w:r w:rsidRPr="00A4039F">
              <w:rPr>
                <w:rFonts w:ascii="標楷體" w:eastAsia="標楷體" w:hAnsi="標楷體" w:hint="eastAsia"/>
              </w:rPr>
              <w:t>分類器 (Boosting) 之混合模型，並針對不平衡資料 (Imbalanced Data) 進行加權優化。4. 平台相容性 (鎖定點)： 演算法程式碼須能於 Compal GPU Annealer 或同級 Ising Machine 模擬器上執行，並提供運算效能分析報告。</w:t>
            </w: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14:paraId="74C4805E" w14:textId="5DA3574E" w:rsidR="00BB3A4E" w:rsidRDefault="00F44B0B" w:rsidP="00BB3A4E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317D942E" w14:textId="2BD8F674" w:rsidR="00BB3A4E" w:rsidRPr="00F44B0B" w:rsidRDefault="00F44B0B" w:rsidP="00BB3A4E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>套</w:t>
            </w:r>
          </w:p>
        </w:tc>
      </w:tr>
      <w:tr w:rsidR="00BB3A4E" w14:paraId="47B11699" w14:textId="77777777" w:rsidTr="00BB3A4E">
        <w:trPr>
          <w:cantSplit/>
          <w:trHeight w:val="1408"/>
        </w:trPr>
        <w:tc>
          <w:tcPr>
            <w:tcW w:w="384" w:type="pct"/>
            <w:tcBorders>
              <w:top w:val="single" w:sz="4" w:space="0" w:color="auto"/>
            </w:tcBorders>
            <w:vAlign w:val="center"/>
          </w:tcPr>
          <w:p w14:paraId="689FEA4C" w14:textId="0B72E64E" w:rsidR="00BB3A4E" w:rsidRDefault="00BB3A4E" w:rsidP="00BB3A4E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2.</w:t>
            </w:r>
          </w:p>
        </w:tc>
        <w:tc>
          <w:tcPr>
            <w:tcW w:w="3637" w:type="pct"/>
            <w:gridSpan w:val="2"/>
            <w:tcBorders>
              <w:top w:val="single" w:sz="4" w:space="0" w:color="auto"/>
            </w:tcBorders>
          </w:tcPr>
          <w:p w14:paraId="59EC5939" w14:textId="2D7EE653" w:rsidR="00BB3A4E" w:rsidRPr="009E6396" w:rsidRDefault="00BB3A4E" w:rsidP="009E6396">
            <w:pPr>
              <w:rPr>
                <w:rFonts w:ascii="標楷體" w:eastAsia="標楷體" w:hAnsi="標楷體"/>
                <w:color w:val="FF0000"/>
              </w:rPr>
            </w:pPr>
            <w:r w:rsidRPr="009E6396">
              <w:rPr>
                <w:rFonts w:ascii="標楷體" w:eastAsia="標楷體" w:hAnsi="標楷體" w:hint="eastAsia"/>
              </w:rPr>
              <w:t>模型驗證與技術移轉1. 效能指標： 模型於測試集之 AUC 須達 0.85 (含) 以上。2. 解釋性分析： 須提供 SHAP 值分析報告，解釋模型決策依據。3. 教育訓練： 提供 6 小時以上之量子機器學習基礎教育訓練。</w:t>
            </w: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14:paraId="5B27C3F6" w14:textId="5E59446B" w:rsidR="00BB3A4E" w:rsidRDefault="00F44B0B" w:rsidP="00BB3A4E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1F958F8F" w14:textId="3B93537A" w:rsidR="00BB3A4E" w:rsidRDefault="00BB3A4E" w:rsidP="00BB3A4E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>套</w:t>
            </w:r>
          </w:p>
        </w:tc>
      </w:tr>
      <w:tr w:rsidR="001F120F" w14:paraId="76BD8385" w14:textId="77777777" w:rsidTr="00BB3A4E">
        <w:trPr>
          <w:cantSplit/>
          <w:trHeight w:val="3912"/>
        </w:trPr>
        <w:tc>
          <w:tcPr>
            <w:tcW w:w="384" w:type="pct"/>
            <w:tcBorders>
              <w:top w:val="single" w:sz="4" w:space="0" w:color="auto"/>
            </w:tcBorders>
            <w:vAlign w:val="center"/>
          </w:tcPr>
          <w:p w14:paraId="5AA1CC73" w14:textId="77777777" w:rsidR="001F120F" w:rsidRDefault="001F120F" w:rsidP="001F120F">
            <w:pPr>
              <w:jc w:val="center"/>
              <w:rPr>
                <w:rFonts w:ascii="細明體" w:eastAsia="細明體" w:hAnsi="細明體"/>
                <w:bCs/>
                <w:sz w:val="16"/>
                <w:szCs w:val="16"/>
              </w:rPr>
            </w:pPr>
            <w:r>
              <w:rPr>
                <w:rFonts w:ascii="標楷體" w:eastAsia="標楷體" w:hint="eastAsia"/>
                <w:sz w:val="40"/>
              </w:rPr>
              <w:t>備註</w:t>
            </w:r>
          </w:p>
        </w:tc>
        <w:tc>
          <w:tcPr>
            <w:tcW w:w="3114" w:type="pct"/>
            <w:tcBorders>
              <w:top w:val="single" w:sz="4" w:space="0" w:color="auto"/>
            </w:tcBorders>
          </w:tcPr>
          <w:p w14:paraId="0C2D3943" w14:textId="77777777" w:rsidR="001F120F" w:rsidRDefault="001F120F" w:rsidP="00F37035">
            <w:pPr>
              <w:jc w:val="both"/>
              <w:rPr>
                <w:rFonts w:ascii="細明體" w:eastAsia="細明體" w:hAnsi="細明體"/>
                <w:b/>
                <w:color w:val="C0C0C0"/>
                <w:sz w:val="22"/>
                <w:szCs w:val="22"/>
              </w:rPr>
            </w:pPr>
            <w:r w:rsidRPr="00167D21">
              <w:rPr>
                <w:rFonts w:ascii="細明體" w:eastAsia="細明體" w:hAnsi="細明體" w:hint="eastAsia"/>
                <w:b/>
                <w:sz w:val="22"/>
                <w:szCs w:val="22"/>
              </w:rPr>
              <w:t>售後服務：</w:t>
            </w:r>
            <w:r w:rsidRPr="00167D21">
              <w:rPr>
                <w:rFonts w:ascii="細明體" w:eastAsia="細明體" w:hAnsi="細明體"/>
                <w:b/>
                <w:color w:val="C0C0C0"/>
                <w:sz w:val="22"/>
                <w:szCs w:val="22"/>
              </w:rPr>
              <w:t>(</w:t>
            </w:r>
            <w:r w:rsidRPr="00167D21">
              <w:rPr>
                <w:rFonts w:ascii="細明體" w:eastAsia="細明體" w:hAnsi="細明體" w:hint="eastAsia"/>
                <w:b/>
                <w:color w:val="C0C0C0"/>
                <w:sz w:val="22"/>
                <w:szCs w:val="22"/>
              </w:rPr>
              <w:t>請將下列條件列於報價單中與合約內</w:t>
            </w:r>
            <w:r w:rsidRPr="00167D21">
              <w:rPr>
                <w:rFonts w:ascii="細明體" w:eastAsia="細明體" w:hAnsi="細明體"/>
                <w:b/>
                <w:color w:val="C0C0C0"/>
                <w:sz w:val="22"/>
                <w:szCs w:val="22"/>
              </w:rPr>
              <w:t>)</w:t>
            </w:r>
          </w:p>
          <w:p w14:paraId="3DFA7EE1" w14:textId="77777777" w:rsidR="001F120F" w:rsidRPr="000A21AB" w:rsidRDefault="001F120F" w:rsidP="00F37035">
            <w:pPr>
              <w:numPr>
                <w:ilvl w:val="0"/>
                <w:numId w:val="10"/>
              </w:numPr>
              <w:ind w:left="0"/>
              <w:rPr>
                <w:rFonts w:ascii="標楷體" w:eastAsia="標楷體" w:hAnsi="標楷體"/>
              </w:rPr>
            </w:pPr>
            <w:r w:rsidRPr="006F37C6">
              <w:rPr>
                <w:rFonts w:ascii="標楷體" w:eastAsia="標楷體" w:hAnsi="標楷體" w:hint="eastAsia"/>
              </w:rPr>
              <w:t>本專案之系統詳細功能及內容，於得標後需與使用單位及資訊室進行需求訪談後確認於系統</w:t>
            </w:r>
            <w:proofErr w:type="gramStart"/>
            <w:r w:rsidRPr="006F37C6">
              <w:rPr>
                <w:rFonts w:ascii="標楷體" w:eastAsia="標楷體" w:hAnsi="標楷體" w:hint="eastAsia"/>
              </w:rPr>
              <w:t>規</w:t>
            </w:r>
            <w:proofErr w:type="gramEnd"/>
            <w:r w:rsidRPr="006F37C6">
              <w:rPr>
                <w:rFonts w:ascii="標楷體" w:eastAsia="標楷體" w:hAnsi="標楷體" w:hint="eastAsia"/>
              </w:rPr>
              <w:t>畫設計書內詳細記載，系統開發階段仍必須有總需求百分之十增修範圍，</w:t>
            </w:r>
            <w:proofErr w:type="gramStart"/>
            <w:r w:rsidRPr="006F37C6">
              <w:rPr>
                <w:rFonts w:ascii="標楷體" w:eastAsia="標楷體" w:hAnsi="標楷體" w:hint="eastAsia"/>
              </w:rPr>
              <w:t>不</w:t>
            </w:r>
            <w:proofErr w:type="gramEnd"/>
            <w:r w:rsidRPr="006F37C6">
              <w:rPr>
                <w:rFonts w:ascii="標楷體" w:eastAsia="標楷體" w:hAnsi="標楷體" w:hint="eastAsia"/>
              </w:rPr>
              <w:t>另計費</w:t>
            </w:r>
            <w:r w:rsidRPr="000A21AB">
              <w:rPr>
                <w:rFonts w:ascii="標楷體" w:eastAsia="標楷體" w:hAnsi="標楷體" w:hint="eastAsia"/>
              </w:rPr>
              <w:t>。</w:t>
            </w:r>
          </w:p>
          <w:p w14:paraId="4DE258C7" w14:textId="77777777" w:rsidR="001F120F" w:rsidRPr="000A21AB" w:rsidRDefault="001F120F" w:rsidP="00F37035">
            <w:pPr>
              <w:numPr>
                <w:ilvl w:val="0"/>
                <w:numId w:val="10"/>
              </w:numPr>
              <w:ind w:left="0"/>
              <w:rPr>
                <w:rFonts w:ascii="標楷體" w:eastAsia="標楷體" w:hAnsi="標楷體"/>
              </w:rPr>
            </w:pPr>
            <w:r w:rsidRPr="000A21AB">
              <w:rPr>
                <w:rFonts w:ascii="標楷體" w:eastAsia="標楷體" w:hAnsi="標楷體" w:hint="eastAsia"/>
              </w:rPr>
              <w:t>廠商需提供此專案所採購系統安裝服務、專案啓動計畫書、系統規劃設計書、測試計畫書、操作手冊及相關教育訓練</w:t>
            </w:r>
            <w:r>
              <w:rPr>
                <w:rFonts w:ascii="標楷體" w:eastAsia="標楷體" w:hAnsi="標楷體" w:hint="eastAsia"/>
              </w:rPr>
              <w:t>手冊</w:t>
            </w:r>
            <w:r w:rsidRPr="000A21AB">
              <w:rPr>
                <w:rFonts w:ascii="標楷體" w:eastAsia="標楷體" w:hAnsi="標楷體" w:hint="eastAsia"/>
              </w:rPr>
              <w:t>。</w:t>
            </w:r>
          </w:p>
          <w:p w14:paraId="7F74985D" w14:textId="77777777" w:rsidR="001F120F" w:rsidRDefault="001F120F" w:rsidP="00F37035">
            <w:pPr>
              <w:numPr>
                <w:ilvl w:val="0"/>
                <w:numId w:val="10"/>
              </w:numPr>
              <w:ind w:left="0"/>
              <w:rPr>
                <w:rFonts w:ascii="標楷體" w:eastAsia="標楷體" w:hAnsi="標楷體"/>
              </w:rPr>
            </w:pPr>
            <w:proofErr w:type="gramStart"/>
            <w:r w:rsidRPr="000C4DF1">
              <w:rPr>
                <w:rFonts w:ascii="標楷體" w:eastAsia="標楷體" w:hAnsi="標楷體" w:hint="eastAsia"/>
              </w:rPr>
              <w:t>以上含</w:t>
            </w:r>
            <w:proofErr w:type="gramEnd"/>
            <w:r w:rsidRPr="000C4DF1">
              <w:rPr>
                <w:rFonts w:ascii="標楷體" w:eastAsia="標楷體" w:hAnsi="標楷體" w:hint="eastAsia"/>
              </w:rPr>
              <w:t>免費到場硬體</w:t>
            </w:r>
            <w:r w:rsidRPr="003E6AF4">
              <w:rPr>
                <w:rFonts w:ascii="標楷體" w:eastAsia="標楷體" w:hAnsi="標楷體" w:hint="eastAsia"/>
              </w:rPr>
              <w:t>與教育訓練</w:t>
            </w:r>
            <w:r>
              <w:rPr>
                <w:rFonts w:ascii="標楷體" w:eastAsia="標楷體" w:hAnsi="標楷體" w:hint="eastAsia"/>
              </w:rPr>
              <w:t>至少3次</w:t>
            </w:r>
            <w:r w:rsidRPr="003E6AF4">
              <w:rPr>
                <w:rFonts w:ascii="標楷體" w:eastAsia="標楷體" w:hAnsi="標楷體" w:hint="eastAsia"/>
              </w:rPr>
              <w:t>。</w:t>
            </w:r>
            <w:r w:rsidRPr="000C4DF1">
              <w:rPr>
                <w:rFonts w:ascii="標楷體" w:eastAsia="標楷體" w:hAnsi="標楷體" w:hint="eastAsia"/>
              </w:rPr>
              <w:t>（包含設備上機架及安裝，且須包含相關零組件）。</w:t>
            </w:r>
          </w:p>
          <w:p w14:paraId="37063254" w14:textId="77777777" w:rsidR="001F120F" w:rsidRDefault="001F120F" w:rsidP="00F37035">
            <w:pPr>
              <w:numPr>
                <w:ilvl w:val="0"/>
                <w:numId w:val="10"/>
              </w:numPr>
              <w:ind w:left="0"/>
              <w:rPr>
                <w:rFonts w:ascii="標楷體" w:eastAsia="標楷體" w:hAnsi="標楷體"/>
              </w:rPr>
            </w:pPr>
            <w:r w:rsidRPr="000C4DF1">
              <w:rPr>
                <w:rFonts w:ascii="標楷體" w:eastAsia="標楷體" w:hAnsi="標楷體" w:hint="eastAsia"/>
              </w:rPr>
              <w:t>所有軟硬體設備均提供：三年</w:t>
            </w:r>
            <w:proofErr w:type="gramStart"/>
            <w:r w:rsidRPr="000C4DF1">
              <w:rPr>
                <w:rFonts w:ascii="標楷體" w:eastAsia="標楷體" w:hAnsi="標楷體" w:hint="eastAsia"/>
              </w:rPr>
              <w:t>軟硬體保固</w:t>
            </w:r>
            <w:proofErr w:type="gramEnd"/>
            <w:r w:rsidRPr="000C4DF1">
              <w:rPr>
                <w:rFonts w:ascii="標楷體" w:eastAsia="標楷體" w:hAnsi="標楷體" w:hint="eastAsia"/>
              </w:rPr>
              <w:t>，原廠與經銷商之硬體三年隔日到府服務，設備</w:t>
            </w:r>
            <w:proofErr w:type="gramStart"/>
            <w:r w:rsidRPr="000C4DF1">
              <w:rPr>
                <w:rFonts w:ascii="標楷體" w:eastAsia="標楷體" w:hAnsi="標楷體" w:hint="eastAsia"/>
              </w:rPr>
              <w:t>交付時檢附</w:t>
            </w:r>
            <w:proofErr w:type="gramEnd"/>
            <w:r w:rsidRPr="000C4DF1">
              <w:rPr>
                <w:rFonts w:ascii="標楷體" w:eastAsia="標楷體" w:hAnsi="標楷體" w:hint="eastAsia"/>
              </w:rPr>
              <w:t>原廠三年保固證明書及維護廠商到府維護證明書，保固期間所有硬體費用及工資、交通等費用免費。</w:t>
            </w:r>
          </w:p>
          <w:p w14:paraId="03C594D0" w14:textId="77777777" w:rsidR="001F120F" w:rsidRDefault="001F120F" w:rsidP="00F37035">
            <w:pPr>
              <w:numPr>
                <w:ilvl w:val="0"/>
                <w:numId w:val="10"/>
              </w:numPr>
              <w:ind w:left="0"/>
              <w:rPr>
                <w:rFonts w:ascii="標楷體" w:eastAsia="標楷體" w:hAnsi="標楷體"/>
              </w:rPr>
            </w:pPr>
            <w:r w:rsidRPr="00AB3678">
              <w:rPr>
                <w:rFonts w:ascii="標楷體" w:eastAsia="標楷體" w:hAnsi="標楷體" w:hint="eastAsia"/>
              </w:rPr>
              <w:t>專案範圍</w:t>
            </w:r>
            <w:proofErr w:type="gramStart"/>
            <w:r w:rsidRPr="00AB3678">
              <w:rPr>
                <w:rFonts w:ascii="標楷體" w:eastAsia="標楷體" w:hAnsi="標楷體" w:hint="eastAsia"/>
              </w:rPr>
              <w:t>內需含所有</w:t>
            </w:r>
            <w:proofErr w:type="gramEnd"/>
            <w:r w:rsidRPr="00AB3678">
              <w:rPr>
                <w:rFonts w:ascii="標楷體" w:eastAsia="標楷體" w:hAnsi="標楷體" w:hint="eastAsia"/>
              </w:rPr>
              <w:t>合法授權系統(OS, DB, 防毒軟體,</w:t>
            </w:r>
            <w:proofErr w:type="gramStart"/>
            <w:r w:rsidRPr="00AB3678">
              <w:rPr>
                <w:rFonts w:ascii="標楷體" w:eastAsia="標楷體" w:hAnsi="標楷體" w:hint="eastAsia"/>
              </w:rPr>
              <w:t>綱站</w:t>
            </w:r>
            <w:proofErr w:type="gramEnd"/>
            <w:r w:rsidRPr="00AB3678">
              <w:rPr>
                <w:rFonts w:ascii="標楷體" w:eastAsia="標楷體" w:hAnsi="標楷體" w:hint="eastAsia"/>
              </w:rPr>
              <w:t>S</w:t>
            </w:r>
            <w:r w:rsidRPr="00AB3678">
              <w:rPr>
                <w:rFonts w:ascii="標楷體" w:eastAsia="標楷體" w:hAnsi="標楷體"/>
              </w:rPr>
              <w:t>SL</w:t>
            </w:r>
            <w:r w:rsidRPr="00AB3678">
              <w:rPr>
                <w:rFonts w:ascii="標楷體" w:eastAsia="標楷體" w:hAnsi="標楷體" w:hint="eastAsia"/>
              </w:rPr>
              <w:t>加密 等等)、配合</w:t>
            </w:r>
            <w:proofErr w:type="gramStart"/>
            <w:r w:rsidRPr="00AB3678">
              <w:rPr>
                <w:rFonts w:ascii="標楷體" w:eastAsia="標楷體" w:hAnsi="標楷體" w:hint="eastAsia"/>
              </w:rPr>
              <w:t>醫院資安政策</w:t>
            </w:r>
            <w:proofErr w:type="gramEnd"/>
            <w:r w:rsidRPr="00AB3678">
              <w:rPr>
                <w:rFonts w:ascii="標楷體" w:eastAsia="標楷體" w:hAnsi="標楷體" w:hint="eastAsia"/>
              </w:rPr>
              <w:t>需符合附表十相關規定，如提供主機弱點掃描報告等等。且軟體、設備不得為中</w:t>
            </w:r>
            <w:r w:rsidRPr="00AB3678">
              <w:rPr>
                <w:rFonts w:ascii="標楷體" w:eastAsia="標楷體" w:hAnsi="標楷體" w:hint="eastAsia"/>
              </w:rPr>
              <w:lastRenderedPageBreak/>
              <w:t>國品牌。</w:t>
            </w:r>
          </w:p>
          <w:p w14:paraId="4DEAB04D" w14:textId="77777777" w:rsidR="001F120F" w:rsidRPr="00004B12" w:rsidRDefault="001F120F" w:rsidP="00F37035">
            <w:pPr>
              <w:numPr>
                <w:ilvl w:val="0"/>
                <w:numId w:val="10"/>
              </w:numPr>
              <w:ind w:left="0"/>
              <w:rPr>
                <w:rFonts w:ascii="標楷體" w:eastAsia="標楷體" w:hAnsi="標楷體"/>
              </w:rPr>
            </w:pPr>
            <w:r w:rsidRPr="00004B12">
              <w:rPr>
                <w:rFonts w:ascii="標楷體" w:eastAsia="標楷體" w:hAnsi="標楷體" w:hint="eastAsia"/>
              </w:rPr>
              <w:t>保固期滿，第四年起，每年維護費率(軟、硬體分列)   %。</w:t>
            </w:r>
          </w:p>
          <w:p w14:paraId="3F7A516A" w14:textId="77777777" w:rsidR="001F120F" w:rsidRPr="00801C83" w:rsidRDefault="001F120F" w:rsidP="00F37035">
            <w:pPr>
              <w:ind w:left="29" w:hanging="29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6F37C6">
              <w:rPr>
                <w:rFonts w:ascii="標楷體" w:eastAsia="標楷體" w:hAnsi="標楷體" w:hint="eastAsia"/>
              </w:rPr>
              <w:t>採購合約https://www.mmh.org.tw/departmain3.php?id=99 資訊類/一般設備類業務：資訊類(含軟體)：資訊類採購合約書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14:paraId="5292285F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lastRenderedPageBreak/>
              <w:t>室</w:t>
            </w:r>
          </w:p>
          <w:p w14:paraId="4C23AEAF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主</w:t>
            </w:r>
          </w:p>
          <w:p w14:paraId="0FF1582D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任</w:t>
            </w:r>
          </w:p>
          <w:p w14:paraId="38D07FB4" w14:textId="77777777" w:rsidR="001F120F" w:rsidRPr="00AC7737" w:rsidRDefault="001F120F" w:rsidP="001F120F">
            <w:pPr>
              <w:ind w:left="72"/>
              <w:jc w:val="center"/>
              <w:rPr>
                <w:rFonts w:ascii="標楷體" w:eastAsia="標楷體" w:hAnsi="標楷體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14:paraId="31BFEF90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課</w:t>
            </w:r>
          </w:p>
          <w:p w14:paraId="2B56329E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4E09FEE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長</w:t>
            </w:r>
          </w:p>
          <w:p w14:paraId="586440B5" w14:textId="77777777" w:rsidR="001F120F" w:rsidRPr="00AC7737" w:rsidRDefault="001F120F" w:rsidP="001F120F">
            <w:pPr>
              <w:ind w:left="72"/>
              <w:jc w:val="center"/>
              <w:rPr>
                <w:rFonts w:ascii="標楷體" w:eastAsia="標楷體" w:hAnsi="標楷體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19133207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申</w:t>
            </w:r>
          </w:p>
          <w:p w14:paraId="1072FAF5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請</w:t>
            </w:r>
          </w:p>
          <w:p w14:paraId="26123643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23B87717" w14:textId="77777777" w:rsidR="001F120F" w:rsidRPr="00AC7737" w:rsidRDefault="001F120F" w:rsidP="001F120F">
            <w:pPr>
              <w:jc w:val="center"/>
              <w:rPr>
                <w:rFonts w:ascii="標楷體" w:eastAsia="標楷體" w:hAnsi="標楷體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14:paraId="5F6B812C" w14:textId="77777777" w:rsidR="00EB3846" w:rsidRDefault="004D0D34" w:rsidP="00AC7737">
      <w:pPr>
        <w:snapToGrid w:val="0"/>
        <w:spacing w:line="240" w:lineRule="atLeast"/>
        <w:ind w:right="-720"/>
        <w:rPr>
          <w:rFonts w:eastAsia="細明體"/>
          <w:bCs/>
          <w:sz w:val="20"/>
        </w:rPr>
      </w:pPr>
      <w:r>
        <w:rPr>
          <w:rFonts w:eastAsia="細明體" w:hint="eastAsia"/>
          <w:bCs/>
          <w:sz w:val="20"/>
        </w:rPr>
        <w:t>本案</w:t>
      </w:r>
      <w:r w:rsidR="00BF130E" w:rsidRPr="00BF130E">
        <w:rPr>
          <w:rFonts w:eastAsia="細明體" w:hint="eastAsia"/>
          <w:bCs/>
          <w:sz w:val="20"/>
        </w:rPr>
        <w:t>資訊室</w:t>
      </w:r>
      <w:r>
        <w:rPr>
          <w:rFonts w:eastAsia="細明體" w:hint="eastAsia"/>
          <w:bCs/>
          <w:sz w:val="20"/>
        </w:rPr>
        <w:t>承辦人：</w:t>
      </w:r>
      <w:r w:rsidR="00801C83">
        <w:rPr>
          <w:rFonts w:eastAsia="細明體" w:hint="eastAsia"/>
          <w:bCs/>
          <w:sz w:val="20"/>
        </w:rPr>
        <w:t xml:space="preserve"> </w:t>
      </w:r>
      <w:r w:rsidR="00801C83">
        <w:rPr>
          <w:rFonts w:eastAsia="細明體"/>
          <w:bCs/>
          <w:sz w:val="20"/>
        </w:rPr>
        <w:t xml:space="preserve">     </w:t>
      </w:r>
      <w:r>
        <w:rPr>
          <w:rFonts w:eastAsia="細明體" w:hint="eastAsia"/>
          <w:bCs/>
          <w:sz w:val="20"/>
        </w:rPr>
        <w:t xml:space="preserve">　　　　　　　電話：</w:t>
      </w:r>
      <w:r w:rsidR="00801C83">
        <w:rPr>
          <w:rFonts w:eastAsia="細明體" w:hint="eastAsia"/>
          <w:bCs/>
          <w:sz w:val="20"/>
        </w:rPr>
        <w:t>□</w:t>
      </w:r>
      <w:r>
        <w:rPr>
          <w:rFonts w:eastAsia="細明體" w:hint="eastAsia"/>
          <w:bCs/>
          <w:sz w:val="20"/>
        </w:rPr>
        <w:t>台北</w:t>
      </w:r>
      <w:r>
        <w:rPr>
          <w:rFonts w:eastAsia="細明體" w:hint="eastAsia"/>
          <w:bCs/>
          <w:sz w:val="20"/>
        </w:rPr>
        <w:t>(02)25433535 E</w:t>
      </w:r>
      <w:r>
        <w:rPr>
          <w:rFonts w:eastAsia="細明體"/>
          <w:bCs/>
          <w:sz w:val="20"/>
        </w:rPr>
        <w:t>xt</w:t>
      </w:r>
      <w:r>
        <w:rPr>
          <w:rFonts w:eastAsia="細明體" w:hint="eastAsia"/>
          <w:bCs/>
          <w:sz w:val="20"/>
        </w:rPr>
        <w:t>2476,</w:t>
      </w:r>
      <w:r>
        <w:rPr>
          <w:rFonts w:eastAsia="細明體" w:hint="eastAsia"/>
          <w:bCs/>
          <w:sz w:val="20"/>
        </w:rPr>
        <w:t xml:space="preserve">　　　</w:t>
      </w:r>
      <w:r>
        <w:rPr>
          <w:rFonts w:eastAsia="細明體" w:hint="eastAsia"/>
          <w:bCs/>
          <w:sz w:val="20"/>
        </w:rPr>
        <w:t xml:space="preserve">  </w:t>
      </w:r>
      <w:r>
        <w:rPr>
          <w:rFonts w:eastAsia="細明體" w:hint="eastAsia"/>
          <w:bCs/>
          <w:sz w:val="20"/>
        </w:rPr>
        <w:t>□淡水</w:t>
      </w:r>
      <w:r>
        <w:rPr>
          <w:rFonts w:eastAsia="細明體"/>
          <w:bCs/>
          <w:sz w:val="20"/>
        </w:rPr>
        <w:t>(02)28094661</w:t>
      </w:r>
      <w:r>
        <w:rPr>
          <w:rFonts w:eastAsia="細明體" w:hint="eastAsia"/>
          <w:bCs/>
          <w:sz w:val="20"/>
        </w:rPr>
        <w:t xml:space="preserve"> </w:t>
      </w:r>
      <w:r>
        <w:rPr>
          <w:rFonts w:eastAsia="細明體"/>
          <w:bCs/>
          <w:sz w:val="20"/>
        </w:rPr>
        <w:t>Ext</w:t>
      </w:r>
      <w:r>
        <w:rPr>
          <w:rFonts w:eastAsia="細明體" w:hint="eastAsia"/>
          <w:bCs/>
          <w:sz w:val="20"/>
        </w:rPr>
        <w:t>2204</w:t>
      </w:r>
    </w:p>
    <w:p w14:paraId="3A475891" w14:textId="77777777" w:rsidR="0002792A" w:rsidRPr="00EB3846" w:rsidRDefault="00EB3846" w:rsidP="00EB3846">
      <w:pPr>
        <w:tabs>
          <w:tab w:val="left" w:pos="5410"/>
          <w:tab w:val="right" w:pos="10205"/>
        </w:tabs>
        <w:rPr>
          <w:rFonts w:eastAsia="細明體"/>
          <w:sz w:val="20"/>
        </w:rPr>
      </w:pPr>
      <w:r>
        <w:rPr>
          <w:rFonts w:eastAsia="細明體"/>
          <w:sz w:val="20"/>
        </w:rPr>
        <w:tab/>
      </w:r>
      <w:r>
        <w:rPr>
          <w:rFonts w:eastAsia="細明體"/>
          <w:sz w:val="20"/>
        </w:rPr>
        <w:tab/>
      </w:r>
    </w:p>
    <w:sectPr w:rsidR="0002792A" w:rsidRPr="00EB3846" w:rsidSect="00A97105">
      <w:headerReference w:type="default" r:id="rId7"/>
      <w:footerReference w:type="default" r:id="rId8"/>
      <w:pgSz w:w="11906" w:h="16838"/>
      <w:pgMar w:top="567" w:right="567" w:bottom="567" w:left="567" w:header="567" w:footer="567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4301" w14:textId="77777777" w:rsidR="00864BE4" w:rsidRDefault="00864BE4">
      <w:r>
        <w:separator/>
      </w:r>
    </w:p>
  </w:endnote>
  <w:endnote w:type="continuationSeparator" w:id="0">
    <w:p w14:paraId="504AB214" w14:textId="77777777" w:rsidR="00864BE4" w:rsidRDefault="0086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204D" w14:textId="77777777" w:rsidR="00A97105" w:rsidRDefault="00A97105">
    <w:pPr>
      <w:pStyle w:val="a5"/>
      <w:jc w:val="right"/>
      <w:rPr>
        <w:rFonts w:ascii="Arial" w:eastAsia="標楷體" w:hAnsi="Arial"/>
        <w:sz w:val="18"/>
      </w:rPr>
    </w:pPr>
    <w:r>
      <w:rPr>
        <w:rFonts w:ascii="Arial" w:eastAsia="標楷體" w:hAnsi="Arial"/>
        <w:bCs/>
        <w:color w:val="003300"/>
        <w:kern w:val="0"/>
        <w:sz w:val="18"/>
      </w:rPr>
      <w:fldChar w:fldCharType="begin"/>
    </w:r>
    <w:r>
      <w:rPr>
        <w:rFonts w:ascii="Arial" w:eastAsia="標楷體" w:hAnsi="Arial"/>
        <w:bCs/>
        <w:color w:val="003300"/>
        <w:kern w:val="0"/>
        <w:sz w:val="18"/>
      </w:rPr>
      <w:instrText xml:space="preserve"> FILENAME </w:instrText>
    </w:r>
    <w:r>
      <w:rPr>
        <w:rFonts w:ascii="Arial" w:eastAsia="標楷體" w:hAnsi="Arial"/>
        <w:bCs/>
        <w:color w:val="003300"/>
        <w:kern w:val="0"/>
        <w:sz w:val="18"/>
      </w:rPr>
      <w:fldChar w:fldCharType="separate"/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P06</w:t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資訊系統詢價品項規格表</w:t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(</w:t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院內版本</w:t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).docx</w:t>
    </w:r>
    <w:r>
      <w:rPr>
        <w:rFonts w:ascii="Arial" w:eastAsia="標楷體" w:hAnsi="Arial"/>
        <w:bCs/>
        <w:color w:val="003300"/>
        <w:kern w:val="0"/>
        <w:sz w:val="18"/>
      </w:rPr>
      <w:fldChar w:fldCharType="end"/>
    </w:r>
    <w:r>
      <w:rPr>
        <w:rFonts w:ascii="Arial" w:eastAsia="標楷體" w:hAnsi="Arial" w:hint="eastAsia"/>
        <w:bCs/>
        <w:color w:val="003300"/>
        <w:sz w:val="18"/>
      </w:rPr>
      <w:t xml:space="preserve">    </w:t>
    </w:r>
    <w:r>
      <w:rPr>
        <w:rFonts w:ascii="Arial" w:eastAsia="標楷體" w:hAnsi="Arial" w:hint="eastAsia"/>
        <w:bCs/>
        <w:color w:val="003300"/>
        <w:sz w:val="18"/>
      </w:rPr>
      <w:t>頁數：</w:t>
    </w:r>
    <w:r w:rsidR="00EB3846">
      <w:rPr>
        <w:rFonts w:ascii="Arial" w:eastAsia="標楷體" w:hAnsi="Arial" w:hint="eastAsia"/>
        <w:bCs/>
        <w:color w:val="003300"/>
        <w:sz w:val="18"/>
      </w:rPr>
      <w:t>1/</w:t>
    </w:r>
    <w:r w:rsidR="00EB3846">
      <w:rPr>
        <w:rFonts w:ascii="Arial" w:eastAsia="標楷體" w:hAnsi="Arial"/>
        <w:bCs/>
        <w:color w:val="003300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8669" w14:textId="77777777" w:rsidR="00864BE4" w:rsidRDefault="00864BE4">
      <w:r>
        <w:separator/>
      </w:r>
    </w:p>
  </w:footnote>
  <w:footnote w:type="continuationSeparator" w:id="0">
    <w:p w14:paraId="0756F597" w14:textId="77777777" w:rsidR="00864BE4" w:rsidRDefault="0086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E5FC" w14:textId="77777777" w:rsidR="00A97105" w:rsidRDefault="00BF130E" w:rsidP="00A97105">
    <w:pPr>
      <w:pStyle w:val="a3"/>
      <w:ind w:rightChars="127" w:right="305"/>
      <w:jc w:val="right"/>
      <w:rPr>
        <w:rFonts w:ascii="Arial" w:hAnsi="Arial"/>
      </w:rPr>
    </w:pPr>
    <w:r w:rsidRPr="00BF130E">
      <w:rPr>
        <w:rFonts w:ascii="Arial" w:eastAsia="標楷體" w:hAnsi="Arial"/>
        <w:bCs/>
        <w:color w:val="003300"/>
        <w:sz w:val="18"/>
      </w:rPr>
      <w:t>2004/01/08</w:t>
    </w:r>
    <w:r w:rsidR="00A97105">
      <w:rPr>
        <w:rFonts w:ascii="Arial" w:eastAsia="標楷體" w:hAnsi="Arial" w:hint="eastAsia"/>
        <w:bCs/>
        <w:color w:val="003300"/>
        <w:sz w:val="18"/>
      </w:rPr>
      <w:t>修訂</w:t>
    </w:r>
    <w:r w:rsidR="00A97105">
      <w:rPr>
        <w:rFonts w:ascii="Arial" w:eastAsia="標楷體" w:hAnsi="Arial" w:hint="eastAsia"/>
        <w:bCs/>
        <w:color w:val="003300"/>
        <w:sz w:val="18"/>
      </w:rPr>
      <w:t xml:space="preserve">  Form:EDP-P-06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3538"/>
    <w:multiLevelType w:val="hybridMultilevel"/>
    <w:tmpl w:val="0C2EC0A4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DDF3208"/>
    <w:multiLevelType w:val="hybridMultilevel"/>
    <w:tmpl w:val="2272D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80583"/>
    <w:multiLevelType w:val="hybridMultilevel"/>
    <w:tmpl w:val="3ADA2146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1FCB57A9"/>
    <w:multiLevelType w:val="hybridMultilevel"/>
    <w:tmpl w:val="8474CAA0"/>
    <w:lvl w:ilvl="0" w:tplc="8A404380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BB19E9"/>
    <w:multiLevelType w:val="hybridMultilevel"/>
    <w:tmpl w:val="6A747812"/>
    <w:lvl w:ilvl="0" w:tplc="9C48192E">
      <w:start w:val="3"/>
      <w:numFmt w:val="decimal"/>
      <w:lvlText w:val="%1."/>
      <w:lvlJc w:val="left"/>
      <w:pPr>
        <w:ind w:left="7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1D7E2C"/>
    <w:multiLevelType w:val="multilevel"/>
    <w:tmpl w:val="4E381118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numFmt w:val="decimal"/>
      <w:lvlText w:val="%9"/>
      <w:lvlJc w:val="left"/>
      <w:pPr>
        <w:ind w:left="360" w:firstLine="0"/>
      </w:pPr>
      <w:rPr>
        <w:rFonts w:hint="eastAsia"/>
      </w:rPr>
    </w:lvl>
  </w:abstractNum>
  <w:abstractNum w:abstractNumId="6" w15:restartNumberingAfterBreak="0">
    <w:nsid w:val="61DC02D6"/>
    <w:multiLevelType w:val="hybridMultilevel"/>
    <w:tmpl w:val="49F4AE70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65251BD4"/>
    <w:multiLevelType w:val="hybridMultilevel"/>
    <w:tmpl w:val="753C20C4"/>
    <w:lvl w:ilvl="0" w:tplc="F668AC7E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A20551"/>
    <w:multiLevelType w:val="hybridMultilevel"/>
    <w:tmpl w:val="3B56A9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60C0607"/>
    <w:multiLevelType w:val="hybridMultilevel"/>
    <w:tmpl w:val="E3281074"/>
    <w:lvl w:ilvl="0" w:tplc="E0DE6840">
      <w:start w:val="2"/>
      <w:numFmt w:val="decimal"/>
      <w:lvlText w:val="%1."/>
      <w:lvlJc w:val="left"/>
      <w:pPr>
        <w:ind w:left="7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537986"/>
    <w:multiLevelType w:val="hybridMultilevel"/>
    <w:tmpl w:val="4E4622B0"/>
    <w:lvl w:ilvl="0" w:tplc="FFFFFFFF">
      <w:start w:val="1"/>
      <w:numFmt w:val="decimal"/>
      <w:lvlText w:val="%1."/>
      <w:lvlJc w:val="left"/>
      <w:pPr>
        <w:ind w:left="132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(%4)"/>
      <w:lvlJc w:val="left"/>
      <w:pPr>
        <w:ind w:left="1920" w:hanging="480"/>
      </w:pPr>
    </w:lvl>
    <w:lvl w:ilvl="4" w:tplc="FFFFFFFF">
      <w:start w:val="1"/>
      <w:numFmt w:val="upperLetter"/>
      <w:lvlText w:val="%5.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59151F"/>
    <w:multiLevelType w:val="multilevel"/>
    <w:tmpl w:val="10ACE564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b/>
        <w:i w:val="0"/>
        <w:sz w:val="26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numFmt w:val="decimal"/>
      <w:lvlText w:val="%9"/>
      <w:lvlJc w:val="left"/>
      <w:pPr>
        <w:ind w:left="360" w:firstLine="0"/>
      </w:pPr>
      <w:rPr>
        <w:rFonts w:hint="eastAsia"/>
      </w:rPr>
    </w:lvl>
  </w:abstractNum>
  <w:abstractNum w:abstractNumId="12" w15:restartNumberingAfterBreak="0">
    <w:nsid w:val="79BD0B2B"/>
    <w:multiLevelType w:val="hybridMultilevel"/>
    <w:tmpl w:val="365E42F6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A710BDA8">
      <w:start w:val="1"/>
      <w:numFmt w:val="decimal"/>
      <w:lvlText w:val="(%2)."/>
      <w:lvlJc w:val="left"/>
      <w:pPr>
        <w:ind w:left="1200" w:hanging="480"/>
      </w:pPr>
      <w:rPr>
        <w:rFonts w:ascii="標楷體" w:eastAsia="標楷體" w:hAnsi="標楷體"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041128745">
    <w:abstractNumId w:val="11"/>
  </w:num>
  <w:num w:numId="2" w16cid:durableId="2020504745">
    <w:abstractNumId w:val="8"/>
  </w:num>
  <w:num w:numId="3" w16cid:durableId="1176964659">
    <w:abstractNumId w:val="3"/>
  </w:num>
  <w:num w:numId="4" w16cid:durableId="664554407">
    <w:abstractNumId w:val="7"/>
  </w:num>
  <w:num w:numId="5" w16cid:durableId="343358580">
    <w:abstractNumId w:val="6"/>
  </w:num>
  <w:num w:numId="6" w16cid:durableId="1176579512">
    <w:abstractNumId w:val="0"/>
  </w:num>
  <w:num w:numId="7" w16cid:durableId="920482325">
    <w:abstractNumId w:val="9"/>
  </w:num>
  <w:num w:numId="8" w16cid:durableId="1307780213">
    <w:abstractNumId w:val="4"/>
  </w:num>
  <w:num w:numId="9" w16cid:durableId="1891455322">
    <w:abstractNumId w:val="12"/>
  </w:num>
  <w:num w:numId="10" w16cid:durableId="805196150">
    <w:abstractNumId w:val="5"/>
  </w:num>
  <w:num w:numId="11" w16cid:durableId="13055426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9349962">
    <w:abstractNumId w:val="2"/>
  </w:num>
  <w:num w:numId="13" w16cid:durableId="157746979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34"/>
    <w:rsid w:val="00012977"/>
    <w:rsid w:val="00027818"/>
    <w:rsid w:val="0002792A"/>
    <w:rsid w:val="00037F26"/>
    <w:rsid w:val="00075F8B"/>
    <w:rsid w:val="00086A13"/>
    <w:rsid w:val="000C1CA3"/>
    <w:rsid w:val="001535E2"/>
    <w:rsid w:val="00170121"/>
    <w:rsid w:val="0017760F"/>
    <w:rsid w:val="001779C7"/>
    <w:rsid w:val="00181557"/>
    <w:rsid w:val="001956ED"/>
    <w:rsid w:val="001F120F"/>
    <w:rsid w:val="0020252A"/>
    <w:rsid w:val="002743B7"/>
    <w:rsid w:val="002A0AEC"/>
    <w:rsid w:val="002A2A8B"/>
    <w:rsid w:val="002B323F"/>
    <w:rsid w:val="002C2BCE"/>
    <w:rsid w:val="002D70DD"/>
    <w:rsid w:val="002E62B3"/>
    <w:rsid w:val="0032567D"/>
    <w:rsid w:val="0035343F"/>
    <w:rsid w:val="00355A13"/>
    <w:rsid w:val="003D7B59"/>
    <w:rsid w:val="004053A9"/>
    <w:rsid w:val="00411960"/>
    <w:rsid w:val="00425AEE"/>
    <w:rsid w:val="00437FF6"/>
    <w:rsid w:val="004910C5"/>
    <w:rsid w:val="004958B5"/>
    <w:rsid w:val="004B44CC"/>
    <w:rsid w:val="004D0D34"/>
    <w:rsid w:val="004D3504"/>
    <w:rsid w:val="004D7364"/>
    <w:rsid w:val="0054581B"/>
    <w:rsid w:val="00556271"/>
    <w:rsid w:val="005B10F8"/>
    <w:rsid w:val="005E714D"/>
    <w:rsid w:val="0060388A"/>
    <w:rsid w:val="0062399C"/>
    <w:rsid w:val="00653E6B"/>
    <w:rsid w:val="00662AF8"/>
    <w:rsid w:val="00666668"/>
    <w:rsid w:val="0067678B"/>
    <w:rsid w:val="00683A01"/>
    <w:rsid w:val="0071623A"/>
    <w:rsid w:val="00736086"/>
    <w:rsid w:val="00736DF2"/>
    <w:rsid w:val="0075163D"/>
    <w:rsid w:val="00791C01"/>
    <w:rsid w:val="007B5B2A"/>
    <w:rsid w:val="007C44FB"/>
    <w:rsid w:val="007D1DED"/>
    <w:rsid w:val="007E4FEF"/>
    <w:rsid w:val="007E5D7C"/>
    <w:rsid w:val="00801C83"/>
    <w:rsid w:val="00837B44"/>
    <w:rsid w:val="008548FD"/>
    <w:rsid w:val="00855CF1"/>
    <w:rsid w:val="00864BE4"/>
    <w:rsid w:val="008B17E5"/>
    <w:rsid w:val="008F11DD"/>
    <w:rsid w:val="008F45CB"/>
    <w:rsid w:val="008F515D"/>
    <w:rsid w:val="00924CD6"/>
    <w:rsid w:val="00925AF4"/>
    <w:rsid w:val="00926887"/>
    <w:rsid w:val="009827C5"/>
    <w:rsid w:val="00996B6C"/>
    <w:rsid w:val="00996D26"/>
    <w:rsid w:val="009B7D1A"/>
    <w:rsid w:val="009C1F82"/>
    <w:rsid w:val="009E4F9B"/>
    <w:rsid w:val="009E6396"/>
    <w:rsid w:val="00A112ED"/>
    <w:rsid w:val="00A24193"/>
    <w:rsid w:val="00A87D38"/>
    <w:rsid w:val="00A97105"/>
    <w:rsid w:val="00AC7737"/>
    <w:rsid w:val="00B01276"/>
    <w:rsid w:val="00B06943"/>
    <w:rsid w:val="00B12B43"/>
    <w:rsid w:val="00B713CA"/>
    <w:rsid w:val="00B77B97"/>
    <w:rsid w:val="00BA46A4"/>
    <w:rsid w:val="00BB3A4E"/>
    <w:rsid w:val="00BE1D8F"/>
    <w:rsid w:val="00BF130E"/>
    <w:rsid w:val="00C02192"/>
    <w:rsid w:val="00C50288"/>
    <w:rsid w:val="00C60809"/>
    <w:rsid w:val="00C751B2"/>
    <w:rsid w:val="00CA1A14"/>
    <w:rsid w:val="00CA761E"/>
    <w:rsid w:val="00D109CA"/>
    <w:rsid w:val="00D20032"/>
    <w:rsid w:val="00D23E55"/>
    <w:rsid w:val="00D2430F"/>
    <w:rsid w:val="00D61047"/>
    <w:rsid w:val="00D63383"/>
    <w:rsid w:val="00D860E6"/>
    <w:rsid w:val="00DE0FDD"/>
    <w:rsid w:val="00EA2B1E"/>
    <w:rsid w:val="00EB3846"/>
    <w:rsid w:val="00F23974"/>
    <w:rsid w:val="00F30C51"/>
    <w:rsid w:val="00F37035"/>
    <w:rsid w:val="00F44B0B"/>
    <w:rsid w:val="00F67A67"/>
    <w:rsid w:val="00F92609"/>
    <w:rsid w:val="00FA02EF"/>
    <w:rsid w:val="00FA0C86"/>
    <w:rsid w:val="00FC2A9B"/>
    <w:rsid w:val="00FD42A5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1E86DD"/>
  <w15:docId w15:val="{4854208B-F1C6-4BC8-89A0-9D59D2BD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D3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0D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4D0D3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4D0D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4D0D3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4D0D34"/>
  </w:style>
  <w:style w:type="paragraph" w:styleId="a8">
    <w:name w:val="List Paragraph"/>
    <w:basedOn w:val="a"/>
    <w:uiPriority w:val="34"/>
    <w:qFormat/>
    <w:rsid w:val="00C02192"/>
    <w:pPr>
      <w:ind w:leftChars="200" w:left="480"/>
    </w:pPr>
  </w:style>
  <w:style w:type="paragraph" w:styleId="2">
    <w:name w:val="toc 2"/>
    <w:basedOn w:val="a"/>
    <w:autoRedefine/>
    <w:semiHidden/>
    <w:rsid w:val="0002792A"/>
    <w:pPr>
      <w:tabs>
        <w:tab w:val="right" w:leader="dot" w:pos="9515"/>
      </w:tabs>
      <w:adjustRightInd w:val="0"/>
      <w:snapToGrid w:val="0"/>
      <w:spacing w:line="240" w:lineRule="atLeast"/>
      <w:ind w:left="480" w:rightChars="100" w:right="240"/>
      <w:outlineLvl w:val="1"/>
    </w:pPr>
    <w:rPr>
      <w:rFonts w:ascii="Arial Unicode MS" w:eastAsia="標楷體" w:hAnsi="Arial Unicode MS" w:cs="Arial Unicode MS"/>
      <w:noProof/>
      <w:color w:val="008000"/>
      <w:sz w:val="28"/>
      <w:szCs w:val="28"/>
    </w:rPr>
  </w:style>
  <w:style w:type="character" w:styleId="a9">
    <w:name w:val="annotation reference"/>
    <w:semiHidden/>
    <w:rsid w:val="00B06943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B5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B5B2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rsid w:val="002B323F"/>
    <w:pPr>
      <w:jc w:val="center"/>
    </w:pPr>
    <w:rPr>
      <w:rFonts w:ascii="標楷體" w:eastAsia="標楷體" w:hAnsi="標楷體"/>
      <w:sz w:val="16"/>
      <w:szCs w:val="24"/>
    </w:rPr>
  </w:style>
  <w:style w:type="character" w:customStyle="1" w:styleId="ad">
    <w:name w:val="本文 字元"/>
    <w:basedOn w:val="a0"/>
    <w:link w:val="ac"/>
    <w:rsid w:val="002B323F"/>
    <w:rPr>
      <w:rFonts w:ascii="標楷體" w:eastAsia="標楷體" w:hAnsi="標楷體" w:cs="Times New Roman"/>
      <w:sz w:val="16"/>
      <w:szCs w:val="24"/>
    </w:rPr>
  </w:style>
  <w:style w:type="paragraph" w:customStyle="1" w:styleId="Default">
    <w:name w:val="Default"/>
    <w:rsid w:val="00012977"/>
    <w:pPr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梁煌達(1075)</dc:creator>
  <cp:keywords/>
  <dc:description/>
  <cp:lastModifiedBy>洪健智(A060)</cp:lastModifiedBy>
  <cp:revision>5</cp:revision>
  <cp:lastPrinted>2022-09-13T05:49:00Z</cp:lastPrinted>
  <dcterms:created xsi:type="dcterms:W3CDTF">2025-07-16T07:52:00Z</dcterms:created>
  <dcterms:modified xsi:type="dcterms:W3CDTF">2026-03-26T07:37:00Z</dcterms:modified>
</cp:coreProperties>
</file>